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2A1079B0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8C0492">
        <w:rPr>
          <w:rFonts w:ascii="Arial" w:eastAsia="Batang" w:hAnsi="Arial" w:cs="Arial"/>
          <w:b/>
          <w:bCs/>
          <w:szCs w:val="22"/>
        </w:rPr>
        <w:t>6</w:t>
      </w:r>
      <w:r w:rsidR="00157531">
        <w:rPr>
          <w:rFonts w:ascii="Arial" w:eastAsia="Batang" w:hAnsi="Arial" w:cs="Arial"/>
          <w:b/>
          <w:bCs/>
          <w:szCs w:val="22"/>
        </w:rPr>
        <w:t>bis</w:t>
      </w:r>
      <w:r w:rsidR="00DB6442">
        <w:rPr>
          <w:rFonts w:ascii="Arial" w:eastAsia="Batang" w:hAnsi="Arial" w:cs="Arial"/>
          <w:b/>
          <w:bCs/>
          <w:szCs w:val="22"/>
        </w:rPr>
        <w:t>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576C84" w:rsidRPr="00576C84">
        <w:rPr>
          <w:rFonts w:ascii="Arial" w:eastAsia="Batang" w:hAnsi="Arial" w:cs="Arial"/>
          <w:b/>
          <w:bCs/>
          <w:szCs w:val="22"/>
        </w:rPr>
        <w:t>R1-2109783</w:t>
      </w:r>
    </w:p>
    <w:p w14:paraId="3B0F6453" w14:textId="60EAB448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157531" w:rsidRPr="00157531">
        <w:rPr>
          <w:rFonts w:ascii="Arial" w:eastAsia="MS Mincho" w:hAnsi="Arial" w:cs="Arial"/>
          <w:b/>
          <w:bCs/>
          <w:szCs w:val="22"/>
          <w:lang w:eastAsia="ja-JP"/>
        </w:rPr>
        <w:t>October 11</w:t>
      </w:r>
      <w:r w:rsidR="00157531" w:rsidRPr="0015753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157531" w:rsidRPr="00157531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="00157531" w:rsidRPr="0015753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52C6798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234C06">
        <w:rPr>
          <w:b/>
          <w:lang w:val="en-US"/>
        </w:rPr>
        <w:t>1.</w:t>
      </w:r>
      <w:r w:rsidR="00EF5FE8">
        <w:rPr>
          <w:b/>
          <w:lang w:val="en-US"/>
        </w:rPr>
        <w:t>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97B9FA7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157531" w:rsidRPr="00157531">
        <w:rPr>
          <w:b/>
          <w:color w:val="000000"/>
          <w:lang w:val="en-US"/>
        </w:rPr>
        <w:t>Remaining issues in 4 bits sub-band CQI reporting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0D685BB6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4413B2">
        <w:rPr>
          <w:rFonts w:eastAsia="MS Mincho"/>
          <w:lang w:val="en-US"/>
        </w:rPr>
        <w:t>1</w:t>
      </w:r>
      <w:r>
        <w:rPr>
          <w:rFonts w:eastAsia="MS Mincho"/>
          <w:lang w:val="en-US"/>
        </w:rPr>
        <w:t>#</w:t>
      </w:r>
      <w:r w:rsidR="004413B2">
        <w:rPr>
          <w:rFonts w:eastAsia="MS Mincho"/>
          <w:lang w:val="en-US"/>
        </w:rPr>
        <w:t>106</w:t>
      </w:r>
      <w:r>
        <w:rPr>
          <w:rFonts w:eastAsia="MS Mincho"/>
          <w:lang w:val="en-US"/>
        </w:rPr>
        <w:t>e</w:t>
      </w:r>
      <w:r w:rsidR="004413B2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</w:t>
      </w:r>
      <w:r w:rsidR="004413B2">
        <w:rPr>
          <w:rFonts w:eastAsia="MS Mincho"/>
          <w:lang w:val="en-US"/>
        </w:rPr>
        <w:t>we agreed and concluded the following:</w:t>
      </w:r>
    </w:p>
    <w:p w14:paraId="7A848976" w14:textId="77777777" w:rsidR="004413B2" w:rsidRPr="004413B2" w:rsidRDefault="004413B2" w:rsidP="004413B2">
      <w:pPr>
        <w:ind w:left="720"/>
        <w:rPr>
          <w:b/>
          <w:bCs/>
          <w:i/>
          <w:iCs/>
          <w:highlight w:val="green"/>
        </w:rPr>
      </w:pPr>
      <w:r w:rsidRPr="004413B2">
        <w:rPr>
          <w:b/>
          <w:bCs/>
          <w:i/>
          <w:iCs/>
          <w:highlight w:val="green"/>
        </w:rPr>
        <w:t>Agreement</w:t>
      </w:r>
    </w:p>
    <w:p w14:paraId="499A66F5" w14:textId="77777777" w:rsidR="004413B2" w:rsidRPr="004413B2" w:rsidRDefault="004413B2" w:rsidP="004413B2">
      <w:pPr>
        <w:ind w:left="720"/>
        <w:rPr>
          <w:i/>
          <w:iCs/>
        </w:rPr>
      </w:pPr>
      <w:r w:rsidRPr="004413B2">
        <w:rPr>
          <w:i/>
          <w:iCs/>
        </w:rPr>
        <w:t xml:space="preserve">For </w:t>
      </w:r>
      <w:proofErr w:type="spellStart"/>
      <w:r w:rsidRPr="004413B2">
        <w:rPr>
          <w:i/>
          <w:iCs/>
        </w:rPr>
        <w:t>subband</w:t>
      </w:r>
      <w:proofErr w:type="spellEnd"/>
      <w:r w:rsidRPr="004413B2">
        <w:rPr>
          <w:i/>
          <w:iCs/>
        </w:rPr>
        <w:t xml:space="preserve"> CQI reporting with more than 2 bits per </w:t>
      </w:r>
      <w:proofErr w:type="spellStart"/>
      <w:r w:rsidRPr="004413B2">
        <w:rPr>
          <w:i/>
          <w:iCs/>
        </w:rPr>
        <w:t>subband</w:t>
      </w:r>
      <w:proofErr w:type="spellEnd"/>
    </w:p>
    <w:p w14:paraId="436C9ED8" w14:textId="77777777" w:rsidR="004413B2" w:rsidRPr="004413B2" w:rsidRDefault="004413B2" w:rsidP="004413B2">
      <w:pPr>
        <w:pStyle w:val="ColorfulList-Accent11"/>
        <w:numPr>
          <w:ilvl w:val="0"/>
          <w:numId w:val="48"/>
        </w:numPr>
        <w:spacing w:after="0"/>
        <w:ind w:leftChars="0" w:left="1440"/>
        <w:rPr>
          <w:rFonts w:ascii="Times New Roman" w:eastAsia="Times New Roman" w:hAnsi="Times New Roman"/>
          <w:i/>
          <w:iCs/>
        </w:rPr>
      </w:pPr>
      <w:r w:rsidRPr="004413B2">
        <w:rPr>
          <w:rFonts w:ascii="Times New Roman" w:eastAsia="Times New Roman" w:hAnsi="Times New Roman"/>
          <w:i/>
          <w:iCs/>
        </w:rPr>
        <w:t>Support 4-bits CQI only</w:t>
      </w:r>
    </w:p>
    <w:p w14:paraId="39169624" w14:textId="77777777" w:rsidR="004413B2" w:rsidRPr="004413B2" w:rsidRDefault="004413B2" w:rsidP="004413B2">
      <w:pPr>
        <w:ind w:left="720"/>
        <w:rPr>
          <w:i/>
          <w:iCs/>
          <w:lang w:eastAsia="x-none"/>
        </w:rPr>
      </w:pPr>
    </w:p>
    <w:p w14:paraId="66EAE50A" w14:textId="77777777" w:rsidR="004413B2" w:rsidRPr="004413B2" w:rsidRDefault="004413B2" w:rsidP="004413B2">
      <w:pPr>
        <w:pStyle w:val="ColorfulList-Accent11"/>
        <w:tabs>
          <w:tab w:val="left" w:pos="720"/>
        </w:tabs>
        <w:ind w:leftChars="0" w:left="720" w:firstLine="0"/>
        <w:rPr>
          <w:rFonts w:ascii="Times New Roman" w:hAnsi="Times New Roman"/>
          <w:b/>
          <w:bCs/>
          <w:i/>
          <w:iCs/>
          <w:szCs w:val="20"/>
          <w:highlight w:val="green"/>
        </w:rPr>
      </w:pPr>
      <w:r w:rsidRPr="004413B2">
        <w:rPr>
          <w:rFonts w:ascii="Times New Roman" w:hAnsi="Times New Roman"/>
          <w:b/>
          <w:bCs/>
          <w:i/>
          <w:iCs/>
          <w:szCs w:val="20"/>
          <w:highlight w:val="green"/>
        </w:rPr>
        <w:t>Agreement</w:t>
      </w:r>
    </w:p>
    <w:p w14:paraId="5C61A2F9" w14:textId="77777777" w:rsidR="004413B2" w:rsidRPr="004413B2" w:rsidRDefault="004413B2" w:rsidP="004413B2">
      <w:pPr>
        <w:pStyle w:val="ColorfulList-Accent11"/>
        <w:tabs>
          <w:tab w:val="left" w:pos="720"/>
        </w:tabs>
        <w:ind w:leftChars="0" w:left="720" w:firstLine="0"/>
        <w:rPr>
          <w:rFonts w:ascii="Times New Roman" w:hAnsi="Times New Roman"/>
          <w:i/>
          <w:iCs/>
          <w:szCs w:val="20"/>
        </w:rPr>
      </w:pPr>
      <w:r w:rsidRPr="004413B2">
        <w:rPr>
          <w:rFonts w:ascii="Times New Roman" w:hAnsi="Times New Roman"/>
          <w:i/>
          <w:iCs/>
          <w:szCs w:val="20"/>
        </w:rPr>
        <w:t xml:space="preserve">For </w:t>
      </w:r>
      <w:proofErr w:type="spellStart"/>
      <w:r w:rsidRPr="004413B2">
        <w:rPr>
          <w:rFonts w:ascii="Times New Roman" w:hAnsi="Times New Roman"/>
          <w:i/>
          <w:iCs/>
          <w:szCs w:val="20"/>
        </w:rPr>
        <w:t>subband</w:t>
      </w:r>
      <w:proofErr w:type="spellEnd"/>
      <w:r w:rsidRPr="004413B2">
        <w:rPr>
          <w:rFonts w:ascii="Times New Roman" w:hAnsi="Times New Roman"/>
          <w:i/>
          <w:iCs/>
          <w:szCs w:val="20"/>
        </w:rPr>
        <w:t xml:space="preserve"> CQI reporting in Rel-17, RRC can configure use of legacy 2-bits D-CQI or 4-bits CQI for each CSI report configuration.</w:t>
      </w:r>
    </w:p>
    <w:p w14:paraId="28B60B57" w14:textId="77777777" w:rsidR="004413B2" w:rsidRPr="004413B2" w:rsidRDefault="004413B2" w:rsidP="004413B2">
      <w:pPr>
        <w:pStyle w:val="ColorfulList-Accent11"/>
        <w:numPr>
          <w:ilvl w:val="0"/>
          <w:numId w:val="23"/>
        </w:numPr>
        <w:spacing w:after="0"/>
        <w:ind w:leftChars="0" w:left="1440" w:firstLine="0"/>
        <w:rPr>
          <w:rFonts w:ascii="Times New Roman" w:hAnsi="Times New Roman"/>
          <w:i/>
          <w:iCs/>
          <w:szCs w:val="20"/>
        </w:rPr>
      </w:pPr>
      <w:r w:rsidRPr="004413B2">
        <w:rPr>
          <w:rFonts w:ascii="Times New Roman" w:hAnsi="Times New Roman"/>
          <w:i/>
          <w:iCs/>
          <w:szCs w:val="20"/>
        </w:rPr>
        <w:t>This feature is subject to UE capability</w:t>
      </w:r>
    </w:p>
    <w:p w14:paraId="6ADDDD1F" w14:textId="77777777" w:rsidR="004413B2" w:rsidRPr="004413B2" w:rsidRDefault="004413B2" w:rsidP="004413B2">
      <w:pPr>
        <w:pStyle w:val="ColorfulList-Accent11"/>
        <w:numPr>
          <w:ilvl w:val="0"/>
          <w:numId w:val="23"/>
        </w:numPr>
        <w:spacing w:after="0"/>
        <w:ind w:leftChars="0" w:left="1440" w:firstLine="0"/>
        <w:rPr>
          <w:rFonts w:ascii="Times New Roman" w:hAnsi="Times New Roman"/>
          <w:i/>
          <w:iCs/>
          <w:szCs w:val="20"/>
        </w:rPr>
      </w:pPr>
      <w:r w:rsidRPr="004413B2">
        <w:rPr>
          <w:rFonts w:ascii="Times New Roman" w:hAnsi="Times New Roman"/>
          <w:i/>
          <w:iCs/>
          <w:szCs w:val="20"/>
        </w:rPr>
        <w:t>FFS: Whether wideband CQI report can be omitted</w:t>
      </w:r>
    </w:p>
    <w:p w14:paraId="5C78EA44" w14:textId="77777777" w:rsidR="004413B2" w:rsidRPr="004413B2" w:rsidRDefault="004413B2" w:rsidP="004413B2">
      <w:pPr>
        <w:pStyle w:val="ColorfulList-Accent11"/>
        <w:tabs>
          <w:tab w:val="left" w:pos="720"/>
        </w:tabs>
        <w:ind w:leftChars="0" w:left="720" w:firstLine="0"/>
        <w:rPr>
          <w:rFonts w:ascii="Times New Roman" w:hAnsi="Times New Roman"/>
          <w:b/>
          <w:bCs/>
          <w:i/>
          <w:iCs/>
          <w:szCs w:val="20"/>
          <w:highlight w:val="yellow"/>
        </w:rPr>
      </w:pPr>
    </w:p>
    <w:p w14:paraId="7480BA75" w14:textId="77777777" w:rsidR="004413B2" w:rsidRPr="004413B2" w:rsidRDefault="004413B2" w:rsidP="004413B2">
      <w:pPr>
        <w:pStyle w:val="ColorfulList-Accent11"/>
        <w:tabs>
          <w:tab w:val="left" w:pos="720"/>
        </w:tabs>
        <w:ind w:leftChars="0" w:left="720" w:firstLine="0"/>
        <w:rPr>
          <w:rFonts w:ascii="Times New Roman" w:hAnsi="Times New Roman"/>
          <w:b/>
          <w:bCs/>
          <w:i/>
          <w:iCs/>
          <w:szCs w:val="20"/>
        </w:rPr>
      </w:pPr>
      <w:r w:rsidRPr="004413B2">
        <w:rPr>
          <w:rFonts w:ascii="Times New Roman" w:hAnsi="Times New Roman"/>
          <w:b/>
          <w:bCs/>
          <w:i/>
          <w:iCs/>
          <w:szCs w:val="20"/>
        </w:rPr>
        <w:t>Conclusion</w:t>
      </w:r>
    </w:p>
    <w:p w14:paraId="097E1265" w14:textId="77777777" w:rsidR="004413B2" w:rsidRPr="004413B2" w:rsidRDefault="004413B2" w:rsidP="004413B2">
      <w:pPr>
        <w:pStyle w:val="ColorfulList-Accent11"/>
        <w:tabs>
          <w:tab w:val="left" w:pos="720"/>
        </w:tabs>
        <w:ind w:leftChars="0" w:left="720" w:firstLine="0"/>
        <w:rPr>
          <w:rFonts w:ascii="Times New Roman" w:hAnsi="Times New Roman"/>
          <w:i/>
          <w:iCs/>
          <w:szCs w:val="20"/>
        </w:rPr>
      </w:pPr>
      <w:r w:rsidRPr="004413B2">
        <w:rPr>
          <w:rFonts w:ascii="Times New Roman" w:hAnsi="Times New Roman"/>
          <w:i/>
          <w:iCs/>
          <w:szCs w:val="20"/>
        </w:rPr>
        <w:t xml:space="preserve">There is no consensus in RAN1 on the support of </w:t>
      </w:r>
      <w:r w:rsidRPr="004413B2">
        <w:rPr>
          <w:rFonts w:ascii="Times New Roman" w:eastAsia="Times New Roman" w:hAnsi="Times New Roman"/>
          <w:i/>
          <w:iCs/>
        </w:rPr>
        <w:t>delta-MCS in Rel-17.</w:t>
      </w:r>
    </w:p>
    <w:p w14:paraId="449451C8" w14:textId="77777777" w:rsidR="004413B2" w:rsidRPr="0099074F" w:rsidRDefault="004413B2" w:rsidP="004413B2">
      <w:pPr>
        <w:pStyle w:val="ColorfulList-Accent11"/>
        <w:tabs>
          <w:tab w:val="left" w:pos="720"/>
        </w:tabs>
        <w:ind w:leftChars="0" w:left="0"/>
        <w:rPr>
          <w:rFonts w:ascii="Times New Roman" w:hAnsi="Times New Roman"/>
          <w:szCs w:val="20"/>
        </w:rPr>
      </w:pPr>
    </w:p>
    <w:p w14:paraId="422FF475" w14:textId="556CFA02" w:rsidR="00855F39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4E1667">
        <w:rPr>
          <w:lang w:val="en-US" w:eastAsia="x-none"/>
        </w:rPr>
        <w:t xml:space="preserve">discusses </w:t>
      </w:r>
      <w:r w:rsidR="002E2DE7">
        <w:rPr>
          <w:lang w:val="en-US" w:eastAsia="x-none"/>
        </w:rPr>
        <w:t>some</w:t>
      </w:r>
      <w:r w:rsidR="004413B2">
        <w:rPr>
          <w:lang w:val="en-US" w:eastAsia="x-none"/>
        </w:rPr>
        <w:t xml:space="preserve"> remaining issue</w:t>
      </w:r>
      <w:r w:rsidR="002E2DE7">
        <w:rPr>
          <w:lang w:val="en-US" w:eastAsia="x-none"/>
        </w:rPr>
        <w:t>s</w:t>
      </w:r>
      <w:r w:rsidR="004413B2">
        <w:rPr>
          <w:lang w:val="en-US" w:eastAsia="x-none"/>
        </w:rPr>
        <w:t xml:space="preserve"> on 4 bits sub-band CQI reporting</w:t>
      </w:r>
      <w:r w:rsidR="00FA7A77">
        <w:rPr>
          <w:lang w:val="en-US" w:eastAsia="x-none"/>
        </w:rPr>
        <w:t>.</w:t>
      </w:r>
    </w:p>
    <w:p w14:paraId="0BC2A6A2" w14:textId="77777777" w:rsidR="00890F4C" w:rsidRPr="00FA7A77" w:rsidRDefault="00890F4C" w:rsidP="00855F39">
      <w:pPr>
        <w:rPr>
          <w:lang w:val="en-US" w:eastAsia="x-none"/>
        </w:rPr>
      </w:pPr>
      <w:bookmarkStart w:id="2" w:name="_Hlk68192600"/>
    </w:p>
    <w:p w14:paraId="1C8EA0B4" w14:textId="094B7C11" w:rsidR="007A0C86" w:rsidRDefault="00DE236C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bookmarkEnd w:id="2"/>
    <w:p w14:paraId="5E4E0A1F" w14:textId="54140733" w:rsidR="00D25F58" w:rsidRDefault="002E2DE7" w:rsidP="00D25F58">
      <w:pPr>
        <w:spacing w:after="0"/>
      </w:pPr>
      <w:r>
        <w:t>Two issues were raised on the 4-bits sub-band CQI reporting feature</w:t>
      </w:r>
      <w:r w:rsidR="009F6A39">
        <w:t xml:space="preserve"> [1]</w:t>
      </w:r>
      <w:r>
        <w:t>:</w:t>
      </w:r>
    </w:p>
    <w:p w14:paraId="6FD75EA0" w14:textId="345615EA" w:rsidR="002E2DE7" w:rsidRDefault="002E2DE7" w:rsidP="00D25F58">
      <w:pPr>
        <w:spacing w:after="0"/>
      </w:pPr>
    </w:p>
    <w:p w14:paraId="65937A29" w14:textId="356D906E" w:rsidR="002E2DE7" w:rsidRDefault="002E2DE7" w:rsidP="002E2DE7">
      <w:pPr>
        <w:pStyle w:val="ListParagraph"/>
        <w:numPr>
          <w:ilvl w:val="0"/>
          <w:numId w:val="49"/>
        </w:numPr>
        <w:spacing w:after="0"/>
      </w:pPr>
      <w:r>
        <w:t>Report of Wideband CQI together with 4-bits sub-band CQI</w:t>
      </w:r>
    </w:p>
    <w:p w14:paraId="474AAE57" w14:textId="3B655610" w:rsidR="002E2DE7" w:rsidRDefault="002E2DE7" w:rsidP="002E2DE7">
      <w:pPr>
        <w:pStyle w:val="ListParagraph"/>
        <w:numPr>
          <w:ilvl w:val="0"/>
          <w:numId w:val="49"/>
        </w:numPr>
        <w:spacing w:after="0"/>
      </w:pPr>
      <w:r>
        <w:t>Enhanced mapping of “Out-of-Range” CQI</w:t>
      </w:r>
    </w:p>
    <w:p w14:paraId="39A365FA" w14:textId="1107E3D4" w:rsidR="002E2DE7" w:rsidRDefault="002E2DE7" w:rsidP="002E2DE7">
      <w:pPr>
        <w:spacing w:after="0"/>
      </w:pPr>
    </w:p>
    <w:p w14:paraId="76BBE992" w14:textId="21FC70AA" w:rsidR="002E2DE7" w:rsidRDefault="002E2DE7" w:rsidP="002E2DE7">
      <w:pPr>
        <w:spacing w:after="0"/>
      </w:pPr>
    </w:p>
    <w:p w14:paraId="6C7AEF83" w14:textId="2D5D46A0" w:rsidR="002E2DE7" w:rsidRDefault="009F6A39" w:rsidP="002E2DE7">
      <w:pPr>
        <w:spacing w:after="0"/>
      </w:pPr>
      <w:r>
        <w:t>In the Rel-15 2-bits sub-band CQI reports, the sub-band CQI is reported as a differential value relative to a wideband CQI.  It is argued in [2] that since the 4-bits sub-band CQI reports the absolute value there is no need for a wideband CQI</w:t>
      </w:r>
      <w:r w:rsidR="00EF6DB2">
        <w:t xml:space="preserve"> to be used as a reference</w:t>
      </w:r>
      <w:r>
        <w:t xml:space="preserve"> and that this would reduce the CSI report overhead.</w:t>
      </w:r>
      <w:r w:rsidR="00EF6DB2">
        <w:t xml:space="preserve">  </w:t>
      </w:r>
      <w:r w:rsidR="0032515C">
        <w:t xml:space="preserve">The UE can be configured to report a subset of sub-bands and therefore for such configuration, the wideband CQI would not be available at the </w:t>
      </w:r>
      <w:proofErr w:type="spellStart"/>
      <w:r w:rsidR="0032515C">
        <w:t>gNB</w:t>
      </w:r>
      <w:proofErr w:type="spellEnd"/>
      <w:r w:rsidR="0032515C">
        <w:t xml:space="preserve"> as it cannot be derived from a subset of sub-bands.  For </w:t>
      </w:r>
      <w:r w:rsidR="008B565F">
        <w:t>the</w:t>
      </w:r>
      <w:r w:rsidR="0032515C">
        <w:t xml:space="preserve"> case where all the </w:t>
      </w:r>
      <w:proofErr w:type="spellStart"/>
      <w:r w:rsidR="00063E5F">
        <w:t>subbands</w:t>
      </w:r>
      <w:proofErr w:type="spellEnd"/>
      <w:r w:rsidR="00063E5F">
        <w:t xml:space="preserve"> are reported, then an additional 4 bit</w:t>
      </w:r>
      <w:r w:rsidR="00C709B9">
        <w:t>s</w:t>
      </w:r>
      <w:r w:rsidR="00063E5F">
        <w:t xml:space="preserve"> for the wideband CQI would not significant</w:t>
      </w:r>
      <w:r w:rsidR="00C709B9">
        <w:t>ly</w:t>
      </w:r>
      <w:r w:rsidR="00063E5F">
        <w:t xml:space="preserve"> </w:t>
      </w:r>
      <w:r w:rsidR="00C709B9">
        <w:t>reduce any</w:t>
      </w:r>
      <w:r w:rsidR="00063E5F">
        <w:t xml:space="preserve"> overhead.  Hence, we prefer that the wideband CQI is reported with the 4-bits sub-band CQI reporting.</w:t>
      </w:r>
    </w:p>
    <w:p w14:paraId="6A4D7F72" w14:textId="3A1F35B2" w:rsidR="00063E5F" w:rsidRDefault="00063E5F" w:rsidP="002E2DE7">
      <w:pPr>
        <w:spacing w:after="0"/>
      </w:pPr>
    </w:p>
    <w:p w14:paraId="5A5BBC1D" w14:textId="6E6B2D6E" w:rsidR="00063E5F" w:rsidRPr="00063E5F" w:rsidRDefault="00063E5F" w:rsidP="002E2DE7">
      <w:pPr>
        <w:spacing w:after="0"/>
        <w:rPr>
          <w:b/>
          <w:bCs/>
        </w:rPr>
      </w:pPr>
      <w:r w:rsidRPr="00063E5F">
        <w:rPr>
          <w:b/>
          <w:bCs/>
        </w:rPr>
        <w:t xml:space="preserve">Proposal 1: Wideband CQI is reported </w:t>
      </w:r>
      <w:r w:rsidR="00E447F1">
        <w:rPr>
          <w:b/>
          <w:bCs/>
        </w:rPr>
        <w:t>together with</w:t>
      </w:r>
      <w:r w:rsidR="00E447F1" w:rsidRPr="00063E5F">
        <w:rPr>
          <w:b/>
          <w:bCs/>
        </w:rPr>
        <w:t xml:space="preserve"> </w:t>
      </w:r>
      <w:r w:rsidRPr="00063E5F">
        <w:rPr>
          <w:b/>
          <w:bCs/>
        </w:rPr>
        <w:t>the 4-bits sub-band CQI reporting.</w:t>
      </w:r>
    </w:p>
    <w:p w14:paraId="6FE9F10E" w14:textId="7CD18EFB" w:rsidR="002E2DE7" w:rsidRDefault="002E2DE7" w:rsidP="00D25F58">
      <w:pPr>
        <w:spacing w:after="0"/>
      </w:pPr>
    </w:p>
    <w:p w14:paraId="72DC93E0" w14:textId="77777777" w:rsidR="00063E5F" w:rsidRDefault="00063E5F" w:rsidP="00D25F58">
      <w:pPr>
        <w:spacing w:after="0"/>
      </w:pPr>
    </w:p>
    <w:p w14:paraId="0E673EC7" w14:textId="3AC86DD2" w:rsidR="002E2DE7" w:rsidRDefault="00753DF6" w:rsidP="00D25F58">
      <w:pPr>
        <w:spacing w:after="0"/>
      </w:pPr>
      <w:r>
        <w:t xml:space="preserve">In Rel-15, the UE reports CQI=0 indicating that the SNR is “Out-of-Range”, </w:t>
      </w:r>
      <w:proofErr w:type="gramStart"/>
      <w:r>
        <w:t>i.e.</w:t>
      </w:r>
      <w:proofErr w:type="gramEnd"/>
      <w:r>
        <w:t xml:space="preserve"> very low.  It is suggested in [3], that for 4-bits sub-band CQI, CQI=0 is mapped to an SNR instead of “Out-of-Range” as CQI=0 can be </w:t>
      </w:r>
      <w:r>
        <w:lastRenderedPageBreak/>
        <w:t>occur quite often.</w:t>
      </w:r>
      <w:r w:rsidR="007F64B2">
        <w:t xml:space="preserve">  We do not see a strong motivation to enhance the mapping for “Out-of-Range” CQI as a CQI less than 1 may not offer reliable DL transmission.  </w:t>
      </w:r>
    </w:p>
    <w:p w14:paraId="3629E7E8" w14:textId="00B2883A" w:rsidR="007F64B2" w:rsidRDefault="007F64B2" w:rsidP="00D25F58">
      <w:pPr>
        <w:spacing w:after="0"/>
      </w:pPr>
    </w:p>
    <w:p w14:paraId="5C20BD7C" w14:textId="288BF059" w:rsidR="007F64B2" w:rsidRPr="007F64B2" w:rsidRDefault="007F64B2" w:rsidP="00D25F58">
      <w:pPr>
        <w:spacing w:after="0"/>
        <w:rPr>
          <w:b/>
          <w:bCs/>
        </w:rPr>
      </w:pPr>
      <w:r w:rsidRPr="007F64B2">
        <w:rPr>
          <w:b/>
          <w:bCs/>
        </w:rPr>
        <w:t>Proposal 2: Do not support enhanced mapping of “Out-of-Range” CQI value.</w:t>
      </w:r>
    </w:p>
    <w:p w14:paraId="72E71E40" w14:textId="77777777" w:rsidR="00D25F58" w:rsidRDefault="00D25F58" w:rsidP="00D25F58">
      <w:pPr>
        <w:spacing w:after="0"/>
      </w:pPr>
    </w:p>
    <w:p w14:paraId="1A7FBD29" w14:textId="77777777" w:rsidR="00744193" w:rsidRPr="00FF0132" w:rsidRDefault="00744193" w:rsidP="00D25F58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27F16FA9" w:rsidR="007F64B2" w:rsidRPr="00E4465A" w:rsidRDefault="00855F39" w:rsidP="007F64B2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F64B2">
        <w:t>remaining issues on 4-bits sub-band CQI reporting and propose the following:</w:t>
      </w:r>
    </w:p>
    <w:p w14:paraId="3AAA5CC4" w14:textId="77777777" w:rsidR="002F750B" w:rsidRPr="00063E5F" w:rsidRDefault="002F750B" w:rsidP="002F750B">
      <w:pPr>
        <w:spacing w:after="0"/>
        <w:rPr>
          <w:b/>
          <w:bCs/>
        </w:rPr>
      </w:pPr>
      <w:r w:rsidRPr="00063E5F">
        <w:rPr>
          <w:b/>
          <w:bCs/>
        </w:rPr>
        <w:t xml:space="preserve">Proposal 1: Wideband CQI is reported </w:t>
      </w:r>
      <w:r>
        <w:rPr>
          <w:b/>
          <w:bCs/>
        </w:rPr>
        <w:t>together with</w:t>
      </w:r>
      <w:r w:rsidRPr="00063E5F">
        <w:rPr>
          <w:b/>
          <w:bCs/>
        </w:rPr>
        <w:t xml:space="preserve"> the 4-bits sub-band CQI reporting.</w:t>
      </w:r>
    </w:p>
    <w:p w14:paraId="4CD78CA5" w14:textId="27AAC372" w:rsidR="00711FE2" w:rsidRDefault="00711FE2" w:rsidP="00D20CB0">
      <w:pPr>
        <w:rPr>
          <w:b/>
          <w:bCs/>
          <w:lang w:val="en-US"/>
        </w:rPr>
      </w:pPr>
    </w:p>
    <w:p w14:paraId="37A9073F" w14:textId="77777777" w:rsidR="002F750B" w:rsidRPr="007F64B2" w:rsidRDefault="002F750B" w:rsidP="002F750B">
      <w:pPr>
        <w:spacing w:after="0"/>
        <w:rPr>
          <w:b/>
          <w:bCs/>
        </w:rPr>
      </w:pPr>
      <w:r w:rsidRPr="007F64B2">
        <w:rPr>
          <w:b/>
          <w:bCs/>
        </w:rPr>
        <w:t>Proposal 2: Do not support enhanced mapping of “Out-of-Range” CQI value.</w:t>
      </w:r>
    </w:p>
    <w:p w14:paraId="5D18AC67" w14:textId="77777777" w:rsidR="007F64B2" w:rsidRPr="001A190B" w:rsidRDefault="007F64B2" w:rsidP="00D20CB0">
      <w:pPr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539848C6" w14:textId="05D6E247" w:rsidR="009B478E" w:rsidRDefault="009B478E" w:rsidP="00407FE3">
      <w:r>
        <w:t xml:space="preserve">[1] </w:t>
      </w:r>
      <w:r w:rsidR="004413B2" w:rsidRPr="004413B2">
        <w:t>R1-2108450</w:t>
      </w:r>
      <w:r w:rsidR="004413B2">
        <w:t>, “</w:t>
      </w:r>
      <w:r w:rsidR="004413B2" w:rsidRPr="004413B2">
        <w:t>Feature lead summary #4 on CSI feedback enhancements for enhanced URLLC/</w:t>
      </w:r>
      <w:proofErr w:type="spellStart"/>
      <w:r w:rsidR="004413B2" w:rsidRPr="004413B2">
        <w:t>IIoT</w:t>
      </w:r>
      <w:proofErr w:type="spellEnd"/>
      <w:r w:rsidR="004413B2">
        <w:t xml:space="preserve">,” </w:t>
      </w:r>
      <w:r w:rsidR="004413B2" w:rsidRPr="004413B2">
        <w:t>Moderator (</w:t>
      </w:r>
      <w:proofErr w:type="spellStart"/>
      <w:r w:rsidR="004413B2" w:rsidRPr="004413B2">
        <w:t>InterDigital</w:t>
      </w:r>
      <w:proofErr w:type="spellEnd"/>
      <w:r w:rsidR="004413B2" w:rsidRPr="004413B2">
        <w:t>, Inc.)</w:t>
      </w:r>
      <w:r w:rsidR="004413B2">
        <w:t>, RAN1#106e</w:t>
      </w:r>
    </w:p>
    <w:p w14:paraId="1FB363B6" w14:textId="0446CCEB" w:rsidR="009F6A39" w:rsidRDefault="009F6A39" w:rsidP="00407FE3">
      <w:r>
        <w:t xml:space="preserve">[2] </w:t>
      </w:r>
      <w:r w:rsidRPr="009F6A39">
        <w:t>R1-2106491</w:t>
      </w:r>
      <w:r>
        <w:t>, “</w:t>
      </w:r>
      <w:r w:rsidRPr="009F6A39">
        <w:t>CSI feedback enhancements</w:t>
      </w:r>
      <w:r>
        <w:t>,” Huawei, HiSilicon, RAN1#106e</w:t>
      </w:r>
    </w:p>
    <w:p w14:paraId="2B301276" w14:textId="21442F95" w:rsidR="007F64B2" w:rsidRDefault="007F64B2" w:rsidP="00407FE3">
      <w:r>
        <w:t xml:space="preserve">[3] </w:t>
      </w:r>
      <w:r w:rsidRPr="007F64B2">
        <w:t>R1-2107584</w:t>
      </w:r>
      <w:r>
        <w:t>, “</w:t>
      </w:r>
      <w:r w:rsidRPr="007F64B2">
        <w:t>On enhanced SB CQI reporting granularity and delta-MCS reporting</w:t>
      </w:r>
      <w:r>
        <w:t>,” Intel, RAN1#106e</w:t>
      </w:r>
    </w:p>
    <w:sectPr w:rsidR="007F64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D30D1" w14:textId="77777777" w:rsidR="0049197E" w:rsidRDefault="0049197E">
      <w:r>
        <w:separator/>
      </w:r>
    </w:p>
  </w:endnote>
  <w:endnote w:type="continuationSeparator" w:id="0">
    <w:p w14:paraId="029BB6D4" w14:textId="77777777" w:rsidR="0049197E" w:rsidRDefault="0049197E">
      <w:r>
        <w:continuationSeparator/>
      </w:r>
    </w:p>
  </w:endnote>
  <w:endnote w:type="continuationNotice" w:id="1">
    <w:p w14:paraId="5CA9549F" w14:textId="77777777" w:rsidR="0049197E" w:rsidRDefault="00491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25887" w14:textId="77777777" w:rsidR="0049197E" w:rsidRDefault="0049197E">
      <w:r>
        <w:separator/>
      </w:r>
    </w:p>
  </w:footnote>
  <w:footnote w:type="continuationSeparator" w:id="0">
    <w:p w14:paraId="0256C63C" w14:textId="77777777" w:rsidR="0049197E" w:rsidRDefault="0049197E">
      <w:r>
        <w:continuationSeparator/>
      </w:r>
    </w:p>
  </w:footnote>
  <w:footnote w:type="continuationNotice" w:id="1">
    <w:p w14:paraId="47ED705E" w14:textId="77777777" w:rsidR="0049197E" w:rsidRDefault="004919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B33C30"/>
    <w:multiLevelType w:val="hybridMultilevel"/>
    <w:tmpl w:val="9C504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50EEB"/>
    <w:multiLevelType w:val="hybridMultilevel"/>
    <w:tmpl w:val="F2E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2085"/>
    <w:multiLevelType w:val="hybridMultilevel"/>
    <w:tmpl w:val="81DA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7" w15:restartNumberingAfterBreak="0">
    <w:nsid w:val="1B4968A7"/>
    <w:multiLevelType w:val="hybridMultilevel"/>
    <w:tmpl w:val="3BDE1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D2836"/>
    <w:multiLevelType w:val="multilevel"/>
    <w:tmpl w:val="1C1D28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BB5937"/>
    <w:multiLevelType w:val="hybridMultilevel"/>
    <w:tmpl w:val="25C43F30"/>
    <w:lvl w:ilvl="0" w:tplc="D6F898BE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87436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5C77BA"/>
    <w:multiLevelType w:val="hybridMultilevel"/>
    <w:tmpl w:val="C2C4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33AEB"/>
    <w:multiLevelType w:val="multilevel"/>
    <w:tmpl w:val="3BA22AE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8C6792"/>
    <w:multiLevelType w:val="hybridMultilevel"/>
    <w:tmpl w:val="573E5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6118C"/>
    <w:multiLevelType w:val="hybridMultilevel"/>
    <w:tmpl w:val="DBFCF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22DEF"/>
    <w:multiLevelType w:val="hybridMultilevel"/>
    <w:tmpl w:val="A5064408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409C0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158B5"/>
    <w:multiLevelType w:val="hybridMultilevel"/>
    <w:tmpl w:val="D882A35C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F86A21"/>
    <w:multiLevelType w:val="hybridMultilevel"/>
    <w:tmpl w:val="7DE05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25" w15:restartNumberingAfterBreak="0">
    <w:nsid w:val="42021137"/>
    <w:multiLevelType w:val="hybridMultilevel"/>
    <w:tmpl w:val="4D62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754EAF"/>
    <w:multiLevelType w:val="multilevel"/>
    <w:tmpl w:val="49754E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2065A6"/>
    <w:multiLevelType w:val="hybridMultilevel"/>
    <w:tmpl w:val="E216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934E49"/>
    <w:multiLevelType w:val="hybridMultilevel"/>
    <w:tmpl w:val="A9AA5D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F1F6A02"/>
    <w:multiLevelType w:val="hybridMultilevel"/>
    <w:tmpl w:val="55065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4517C"/>
    <w:multiLevelType w:val="hybridMultilevel"/>
    <w:tmpl w:val="97BE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16F1B"/>
    <w:multiLevelType w:val="hybridMultilevel"/>
    <w:tmpl w:val="3C04C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6" w15:restartNumberingAfterBreak="0">
    <w:nsid w:val="65E70964"/>
    <w:multiLevelType w:val="hybridMultilevel"/>
    <w:tmpl w:val="C648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86D7D"/>
    <w:multiLevelType w:val="multilevel"/>
    <w:tmpl w:val="67586D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E0D9A"/>
    <w:multiLevelType w:val="multilevel"/>
    <w:tmpl w:val="677E0D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E01D7B"/>
    <w:multiLevelType w:val="hybridMultilevel"/>
    <w:tmpl w:val="4B2C2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F2904"/>
    <w:multiLevelType w:val="multilevel"/>
    <w:tmpl w:val="6E3F29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512BA4"/>
    <w:multiLevelType w:val="hybridMultilevel"/>
    <w:tmpl w:val="C2F6D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15DF8"/>
    <w:multiLevelType w:val="hybridMultilevel"/>
    <w:tmpl w:val="6DCCBD9E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4" w15:restartNumberingAfterBreak="0">
    <w:nsid w:val="75F802F3"/>
    <w:multiLevelType w:val="hybridMultilevel"/>
    <w:tmpl w:val="C3F66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C0156"/>
    <w:multiLevelType w:val="hybridMultilevel"/>
    <w:tmpl w:val="BD5C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C4E1FF8"/>
    <w:multiLevelType w:val="multilevel"/>
    <w:tmpl w:val="7C4E1F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4"/>
  </w:num>
  <w:num w:numId="4">
    <w:abstractNumId w:val="6"/>
  </w:num>
  <w:num w:numId="5">
    <w:abstractNumId w:val="0"/>
  </w:num>
  <w:num w:numId="6">
    <w:abstractNumId w:val="17"/>
  </w:num>
  <w:num w:numId="7">
    <w:abstractNumId w:val="49"/>
  </w:num>
  <w:num w:numId="8">
    <w:abstractNumId w:val="25"/>
  </w:num>
  <w:num w:numId="9">
    <w:abstractNumId w:val="19"/>
  </w:num>
  <w:num w:numId="10">
    <w:abstractNumId w:val="46"/>
  </w:num>
  <w:num w:numId="11">
    <w:abstractNumId w:val="47"/>
  </w:num>
  <w:num w:numId="12">
    <w:abstractNumId w:val="7"/>
  </w:num>
  <w:num w:numId="13">
    <w:abstractNumId w:val="36"/>
  </w:num>
  <w:num w:numId="14">
    <w:abstractNumId w:val="45"/>
  </w:num>
  <w:num w:numId="15">
    <w:abstractNumId w:val="12"/>
  </w:num>
  <w:num w:numId="16">
    <w:abstractNumId w:val="16"/>
  </w:num>
  <w:num w:numId="17">
    <w:abstractNumId w:val="3"/>
  </w:num>
  <w:num w:numId="18">
    <w:abstractNumId w:val="15"/>
  </w:num>
  <w:num w:numId="19">
    <w:abstractNumId w:val="33"/>
  </w:num>
  <w:num w:numId="20">
    <w:abstractNumId w:val="26"/>
  </w:num>
  <w:num w:numId="21">
    <w:abstractNumId w:val="23"/>
  </w:num>
  <w:num w:numId="22">
    <w:abstractNumId w:val="44"/>
  </w:num>
  <w:num w:numId="23">
    <w:abstractNumId w:val="39"/>
  </w:num>
  <w:num w:numId="24">
    <w:abstractNumId w:val="28"/>
  </w:num>
  <w:num w:numId="25">
    <w:abstractNumId w:val="34"/>
  </w:num>
  <w:num w:numId="26">
    <w:abstractNumId w:val="29"/>
  </w:num>
  <w:num w:numId="27">
    <w:abstractNumId w:val="2"/>
  </w:num>
  <w:num w:numId="28">
    <w:abstractNumId w:val="42"/>
  </w:num>
  <w:num w:numId="29">
    <w:abstractNumId w:val="22"/>
  </w:num>
  <w:num w:numId="30">
    <w:abstractNumId w:val="21"/>
  </w:num>
  <w:num w:numId="31">
    <w:abstractNumId w:val="40"/>
  </w:num>
  <w:num w:numId="32">
    <w:abstractNumId w:val="1"/>
  </w:num>
  <w:num w:numId="33">
    <w:abstractNumId w:val="30"/>
  </w:num>
  <w:num w:numId="34">
    <w:abstractNumId w:val="41"/>
  </w:num>
  <w:num w:numId="35">
    <w:abstractNumId w:val="38"/>
  </w:num>
  <w:num w:numId="36">
    <w:abstractNumId w:val="8"/>
  </w:num>
  <w:num w:numId="37">
    <w:abstractNumId w:val="18"/>
  </w:num>
  <w:num w:numId="38">
    <w:abstractNumId w:val="20"/>
  </w:num>
  <w:num w:numId="39">
    <w:abstractNumId w:val="11"/>
  </w:num>
  <w:num w:numId="40">
    <w:abstractNumId w:val="13"/>
  </w:num>
  <w:num w:numId="41">
    <w:abstractNumId w:val="5"/>
  </w:num>
  <w:num w:numId="42">
    <w:abstractNumId w:val="14"/>
  </w:num>
  <w:num w:numId="43">
    <w:abstractNumId w:val="48"/>
  </w:num>
  <w:num w:numId="44">
    <w:abstractNumId w:val="37"/>
  </w:num>
  <w:num w:numId="45">
    <w:abstractNumId w:val="27"/>
  </w:num>
  <w:num w:numId="46">
    <w:abstractNumId w:val="43"/>
  </w:num>
  <w:num w:numId="47">
    <w:abstractNumId w:val="32"/>
  </w:num>
  <w:num w:numId="48">
    <w:abstractNumId w:val="10"/>
  </w:num>
  <w:num w:numId="49">
    <w:abstractNumId w:val="4"/>
  </w:num>
  <w:num w:numId="50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312"/>
    <w:rsid w:val="00005DB5"/>
    <w:rsid w:val="00006222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4A05"/>
    <w:rsid w:val="00034BE0"/>
    <w:rsid w:val="000366AC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50083"/>
    <w:rsid w:val="00051AE3"/>
    <w:rsid w:val="000526BF"/>
    <w:rsid w:val="00057629"/>
    <w:rsid w:val="00060A19"/>
    <w:rsid w:val="00062DA9"/>
    <w:rsid w:val="00063E5F"/>
    <w:rsid w:val="00063EB5"/>
    <w:rsid w:val="000645C6"/>
    <w:rsid w:val="000657A3"/>
    <w:rsid w:val="00067574"/>
    <w:rsid w:val="00070CB1"/>
    <w:rsid w:val="00071A2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4315"/>
    <w:rsid w:val="000B5886"/>
    <w:rsid w:val="000B599E"/>
    <w:rsid w:val="000B5D65"/>
    <w:rsid w:val="000B68AA"/>
    <w:rsid w:val="000B6F39"/>
    <w:rsid w:val="000B741A"/>
    <w:rsid w:val="000C054B"/>
    <w:rsid w:val="000C0A74"/>
    <w:rsid w:val="000C2901"/>
    <w:rsid w:val="000C2AC0"/>
    <w:rsid w:val="000C34E2"/>
    <w:rsid w:val="000C3B1C"/>
    <w:rsid w:val="000C5BBA"/>
    <w:rsid w:val="000D2E23"/>
    <w:rsid w:val="000D47AF"/>
    <w:rsid w:val="000D49B2"/>
    <w:rsid w:val="000D639E"/>
    <w:rsid w:val="000D6E32"/>
    <w:rsid w:val="000D7B2E"/>
    <w:rsid w:val="000E2A73"/>
    <w:rsid w:val="000E678E"/>
    <w:rsid w:val="000F0284"/>
    <w:rsid w:val="000F0589"/>
    <w:rsid w:val="000F0B4D"/>
    <w:rsid w:val="000F183A"/>
    <w:rsid w:val="000F2691"/>
    <w:rsid w:val="000F5A6E"/>
    <w:rsid w:val="00102B6D"/>
    <w:rsid w:val="00103160"/>
    <w:rsid w:val="0010548F"/>
    <w:rsid w:val="00106793"/>
    <w:rsid w:val="00106D5C"/>
    <w:rsid w:val="00106DB8"/>
    <w:rsid w:val="00106E4E"/>
    <w:rsid w:val="001074FE"/>
    <w:rsid w:val="001116CE"/>
    <w:rsid w:val="00111DCA"/>
    <w:rsid w:val="00112FBE"/>
    <w:rsid w:val="00113713"/>
    <w:rsid w:val="00113FFC"/>
    <w:rsid w:val="001156D6"/>
    <w:rsid w:val="00116008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B43"/>
    <w:rsid w:val="001318A8"/>
    <w:rsid w:val="001318C4"/>
    <w:rsid w:val="00131F38"/>
    <w:rsid w:val="001324D1"/>
    <w:rsid w:val="001343BB"/>
    <w:rsid w:val="00134BD6"/>
    <w:rsid w:val="00136D8B"/>
    <w:rsid w:val="00136DE8"/>
    <w:rsid w:val="0014010F"/>
    <w:rsid w:val="001415AE"/>
    <w:rsid w:val="00144192"/>
    <w:rsid w:val="00153DAF"/>
    <w:rsid w:val="00154348"/>
    <w:rsid w:val="00155449"/>
    <w:rsid w:val="00155458"/>
    <w:rsid w:val="00156E9C"/>
    <w:rsid w:val="00157531"/>
    <w:rsid w:val="00160371"/>
    <w:rsid w:val="00162258"/>
    <w:rsid w:val="001623C0"/>
    <w:rsid w:val="0016276D"/>
    <w:rsid w:val="001641D6"/>
    <w:rsid w:val="001703DF"/>
    <w:rsid w:val="00171BCC"/>
    <w:rsid w:val="00173B87"/>
    <w:rsid w:val="00174FBB"/>
    <w:rsid w:val="001759AC"/>
    <w:rsid w:val="001773FC"/>
    <w:rsid w:val="00177C0E"/>
    <w:rsid w:val="00180FB8"/>
    <w:rsid w:val="001812ED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3B1"/>
    <w:rsid w:val="001B6F5E"/>
    <w:rsid w:val="001C5D90"/>
    <w:rsid w:val="001C5F5C"/>
    <w:rsid w:val="001C6797"/>
    <w:rsid w:val="001C7850"/>
    <w:rsid w:val="001D1CB2"/>
    <w:rsid w:val="001D2B9B"/>
    <w:rsid w:val="001D3CD9"/>
    <w:rsid w:val="001D4C19"/>
    <w:rsid w:val="001D569E"/>
    <w:rsid w:val="001D7294"/>
    <w:rsid w:val="001D7299"/>
    <w:rsid w:val="001D7786"/>
    <w:rsid w:val="001D7B2D"/>
    <w:rsid w:val="001E1CB7"/>
    <w:rsid w:val="001E507C"/>
    <w:rsid w:val="001E577C"/>
    <w:rsid w:val="001E6315"/>
    <w:rsid w:val="001E6E71"/>
    <w:rsid w:val="001F24B2"/>
    <w:rsid w:val="001F2AE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A8C"/>
    <w:rsid w:val="002136ED"/>
    <w:rsid w:val="002146C4"/>
    <w:rsid w:val="0021716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516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394C"/>
    <w:rsid w:val="00263CA8"/>
    <w:rsid w:val="00265437"/>
    <w:rsid w:val="0026656B"/>
    <w:rsid w:val="002679C5"/>
    <w:rsid w:val="00270216"/>
    <w:rsid w:val="0027318F"/>
    <w:rsid w:val="002732F5"/>
    <w:rsid w:val="00274508"/>
    <w:rsid w:val="00275802"/>
    <w:rsid w:val="00275F80"/>
    <w:rsid w:val="002761EC"/>
    <w:rsid w:val="00280ED8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BF"/>
    <w:rsid w:val="002A3B4C"/>
    <w:rsid w:val="002A5825"/>
    <w:rsid w:val="002A591C"/>
    <w:rsid w:val="002A7770"/>
    <w:rsid w:val="002B1397"/>
    <w:rsid w:val="002B1D8E"/>
    <w:rsid w:val="002B22D8"/>
    <w:rsid w:val="002B4D1A"/>
    <w:rsid w:val="002B54B3"/>
    <w:rsid w:val="002B56B8"/>
    <w:rsid w:val="002B5807"/>
    <w:rsid w:val="002C01D5"/>
    <w:rsid w:val="002C584A"/>
    <w:rsid w:val="002C75C7"/>
    <w:rsid w:val="002D14A6"/>
    <w:rsid w:val="002D1FA5"/>
    <w:rsid w:val="002D4F72"/>
    <w:rsid w:val="002D5C34"/>
    <w:rsid w:val="002E09BD"/>
    <w:rsid w:val="002E0D51"/>
    <w:rsid w:val="002E24EA"/>
    <w:rsid w:val="002E2DE7"/>
    <w:rsid w:val="002E3E88"/>
    <w:rsid w:val="002E73EE"/>
    <w:rsid w:val="002E7691"/>
    <w:rsid w:val="002E77DE"/>
    <w:rsid w:val="002F0B65"/>
    <w:rsid w:val="002F1D23"/>
    <w:rsid w:val="002F2113"/>
    <w:rsid w:val="002F27E9"/>
    <w:rsid w:val="002F750B"/>
    <w:rsid w:val="002F7659"/>
    <w:rsid w:val="003017FF"/>
    <w:rsid w:val="00301B0B"/>
    <w:rsid w:val="0030595F"/>
    <w:rsid w:val="00305F45"/>
    <w:rsid w:val="003077B4"/>
    <w:rsid w:val="00307F60"/>
    <w:rsid w:val="00310D7A"/>
    <w:rsid w:val="003119DD"/>
    <w:rsid w:val="00311BD9"/>
    <w:rsid w:val="00314ABC"/>
    <w:rsid w:val="00315418"/>
    <w:rsid w:val="003162A9"/>
    <w:rsid w:val="0031736C"/>
    <w:rsid w:val="00322F7E"/>
    <w:rsid w:val="0032319A"/>
    <w:rsid w:val="00323A18"/>
    <w:rsid w:val="00323CCE"/>
    <w:rsid w:val="0032515C"/>
    <w:rsid w:val="00325336"/>
    <w:rsid w:val="00327383"/>
    <w:rsid w:val="003275FE"/>
    <w:rsid w:val="00333EB6"/>
    <w:rsid w:val="003352DF"/>
    <w:rsid w:val="003365EF"/>
    <w:rsid w:val="00336A8D"/>
    <w:rsid w:val="003428F0"/>
    <w:rsid w:val="003438A6"/>
    <w:rsid w:val="00344A18"/>
    <w:rsid w:val="003474A9"/>
    <w:rsid w:val="00350811"/>
    <w:rsid w:val="0035221F"/>
    <w:rsid w:val="00352564"/>
    <w:rsid w:val="003527BE"/>
    <w:rsid w:val="003539C7"/>
    <w:rsid w:val="003567DC"/>
    <w:rsid w:val="00356FC8"/>
    <w:rsid w:val="00362CFE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518"/>
    <w:rsid w:val="003A1646"/>
    <w:rsid w:val="003A1649"/>
    <w:rsid w:val="003A1A45"/>
    <w:rsid w:val="003A3361"/>
    <w:rsid w:val="003A42CD"/>
    <w:rsid w:val="003A433E"/>
    <w:rsid w:val="003A4C24"/>
    <w:rsid w:val="003A62C9"/>
    <w:rsid w:val="003B0D86"/>
    <w:rsid w:val="003B29D1"/>
    <w:rsid w:val="003B2EF1"/>
    <w:rsid w:val="003B312B"/>
    <w:rsid w:val="003B4C2F"/>
    <w:rsid w:val="003B5EBD"/>
    <w:rsid w:val="003B6947"/>
    <w:rsid w:val="003C39BA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7FC0"/>
    <w:rsid w:val="004211F1"/>
    <w:rsid w:val="00421BF1"/>
    <w:rsid w:val="00421D52"/>
    <w:rsid w:val="00422848"/>
    <w:rsid w:val="00423BD1"/>
    <w:rsid w:val="004251BD"/>
    <w:rsid w:val="00425D5B"/>
    <w:rsid w:val="00427D9F"/>
    <w:rsid w:val="00430383"/>
    <w:rsid w:val="00431425"/>
    <w:rsid w:val="0043408E"/>
    <w:rsid w:val="00434697"/>
    <w:rsid w:val="00440646"/>
    <w:rsid w:val="004413B2"/>
    <w:rsid w:val="0044175E"/>
    <w:rsid w:val="00441FC3"/>
    <w:rsid w:val="004469F1"/>
    <w:rsid w:val="00446F95"/>
    <w:rsid w:val="004476E8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341C"/>
    <w:rsid w:val="00483B30"/>
    <w:rsid w:val="0048511E"/>
    <w:rsid w:val="00490605"/>
    <w:rsid w:val="004909D7"/>
    <w:rsid w:val="0049197E"/>
    <w:rsid w:val="00491FCD"/>
    <w:rsid w:val="00492332"/>
    <w:rsid w:val="00492A87"/>
    <w:rsid w:val="00495FF3"/>
    <w:rsid w:val="0049683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DC"/>
    <w:rsid w:val="004F6519"/>
    <w:rsid w:val="00502AA5"/>
    <w:rsid w:val="00503879"/>
    <w:rsid w:val="00503C98"/>
    <w:rsid w:val="00503DA1"/>
    <w:rsid w:val="005052E5"/>
    <w:rsid w:val="005066E1"/>
    <w:rsid w:val="005101DA"/>
    <w:rsid w:val="005107F1"/>
    <w:rsid w:val="00511B06"/>
    <w:rsid w:val="00511FFF"/>
    <w:rsid w:val="005141B3"/>
    <w:rsid w:val="00514ACC"/>
    <w:rsid w:val="005151DD"/>
    <w:rsid w:val="00515537"/>
    <w:rsid w:val="00515AA1"/>
    <w:rsid w:val="00516587"/>
    <w:rsid w:val="0051696E"/>
    <w:rsid w:val="005173E4"/>
    <w:rsid w:val="005219D0"/>
    <w:rsid w:val="00521ADB"/>
    <w:rsid w:val="005226B7"/>
    <w:rsid w:val="00522C02"/>
    <w:rsid w:val="00525ABD"/>
    <w:rsid w:val="00527811"/>
    <w:rsid w:val="005304A6"/>
    <w:rsid w:val="005317FD"/>
    <w:rsid w:val="00533EC2"/>
    <w:rsid w:val="0053447D"/>
    <w:rsid w:val="00540859"/>
    <w:rsid w:val="0054376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2EA3"/>
    <w:rsid w:val="005640F6"/>
    <w:rsid w:val="00564B64"/>
    <w:rsid w:val="005654F5"/>
    <w:rsid w:val="005658A0"/>
    <w:rsid w:val="005661C8"/>
    <w:rsid w:val="005701B4"/>
    <w:rsid w:val="005710C3"/>
    <w:rsid w:val="0057264E"/>
    <w:rsid w:val="005738B2"/>
    <w:rsid w:val="00574987"/>
    <w:rsid w:val="00575310"/>
    <w:rsid w:val="00576978"/>
    <w:rsid w:val="00576C84"/>
    <w:rsid w:val="00576DCA"/>
    <w:rsid w:val="005776BC"/>
    <w:rsid w:val="00577751"/>
    <w:rsid w:val="00577F8A"/>
    <w:rsid w:val="00580724"/>
    <w:rsid w:val="00581C1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4D3D"/>
    <w:rsid w:val="00594DEA"/>
    <w:rsid w:val="0059722F"/>
    <w:rsid w:val="005A0046"/>
    <w:rsid w:val="005A029D"/>
    <w:rsid w:val="005A072A"/>
    <w:rsid w:val="005A0A84"/>
    <w:rsid w:val="005A3297"/>
    <w:rsid w:val="005A4D5E"/>
    <w:rsid w:val="005A716B"/>
    <w:rsid w:val="005A73BF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C19D9"/>
    <w:rsid w:val="005C1DF4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78"/>
    <w:rsid w:val="005D4784"/>
    <w:rsid w:val="005D537D"/>
    <w:rsid w:val="005D5AE6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8A"/>
    <w:rsid w:val="005E6C06"/>
    <w:rsid w:val="005E78FC"/>
    <w:rsid w:val="005E7D65"/>
    <w:rsid w:val="005F25B5"/>
    <w:rsid w:val="005F341F"/>
    <w:rsid w:val="005F4FD9"/>
    <w:rsid w:val="005F5642"/>
    <w:rsid w:val="005F5FE9"/>
    <w:rsid w:val="005F6ABE"/>
    <w:rsid w:val="00600272"/>
    <w:rsid w:val="00601258"/>
    <w:rsid w:val="006036D1"/>
    <w:rsid w:val="00605E6D"/>
    <w:rsid w:val="00610A11"/>
    <w:rsid w:val="00610ACA"/>
    <w:rsid w:val="00611AD1"/>
    <w:rsid w:val="00615A70"/>
    <w:rsid w:val="0061635F"/>
    <w:rsid w:val="00616D13"/>
    <w:rsid w:val="00620DD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7ED0"/>
    <w:rsid w:val="006403E0"/>
    <w:rsid w:val="0064052F"/>
    <w:rsid w:val="0064072D"/>
    <w:rsid w:val="00640BA7"/>
    <w:rsid w:val="006430B7"/>
    <w:rsid w:val="00643E1D"/>
    <w:rsid w:val="006440AC"/>
    <w:rsid w:val="00644ED3"/>
    <w:rsid w:val="00647C3D"/>
    <w:rsid w:val="00653984"/>
    <w:rsid w:val="00654406"/>
    <w:rsid w:val="0065646B"/>
    <w:rsid w:val="00656747"/>
    <w:rsid w:val="006569B2"/>
    <w:rsid w:val="00657DD9"/>
    <w:rsid w:val="00661EC5"/>
    <w:rsid w:val="00662952"/>
    <w:rsid w:val="00664E2F"/>
    <w:rsid w:val="006651CD"/>
    <w:rsid w:val="006672D5"/>
    <w:rsid w:val="00671754"/>
    <w:rsid w:val="0067188C"/>
    <w:rsid w:val="00673015"/>
    <w:rsid w:val="00675093"/>
    <w:rsid w:val="006753E7"/>
    <w:rsid w:val="00675A71"/>
    <w:rsid w:val="00676C51"/>
    <w:rsid w:val="0067719A"/>
    <w:rsid w:val="00677BEC"/>
    <w:rsid w:val="00680CAA"/>
    <w:rsid w:val="0068693C"/>
    <w:rsid w:val="00687AB3"/>
    <w:rsid w:val="006900D8"/>
    <w:rsid w:val="00692272"/>
    <w:rsid w:val="00692317"/>
    <w:rsid w:val="00694ABB"/>
    <w:rsid w:val="00694B81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B12CE"/>
    <w:rsid w:val="006B2EE0"/>
    <w:rsid w:val="006B35D9"/>
    <w:rsid w:val="006B39D4"/>
    <w:rsid w:val="006B3EF2"/>
    <w:rsid w:val="006C01B7"/>
    <w:rsid w:val="006C033B"/>
    <w:rsid w:val="006C0EEE"/>
    <w:rsid w:val="006C0F60"/>
    <w:rsid w:val="006C1678"/>
    <w:rsid w:val="006C1800"/>
    <w:rsid w:val="006C2587"/>
    <w:rsid w:val="006C49C0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F3B"/>
    <w:rsid w:val="006E6D03"/>
    <w:rsid w:val="006F007F"/>
    <w:rsid w:val="006F2738"/>
    <w:rsid w:val="006F291E"/>
    <w:rsid w:val="006F3479"/>
    <w:rsid w:val="006F4B29"/>
    <w:rsid w:val="006F4C56"/>
    <w:rsid w:val="006F502D"/>
    <w:rsid w:val="006F50BE"/>
    <w:rsid w:val="006F65C1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106F"/>
    <w:rsid w:val="007221E1"/>
    <w:rsid w:val="00722DF3"/>
    <w:rsid w:val="00723341"/>
    <w:rsid w:val="00723567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6094"/>
    <w:rsid w:val="0073740C"/>
    <w:rsid w:val="0073743C"/>
    <w:rsid w:val="0073779D"/>
    <w:rsid w:val="00740D09"/>
    <w:rsid w:val="007434DA"/>
    <w:rsid w:val="00743918"/>
    <w:rsid w:val="00744193"/>
    <w:rsid w:val="00744ECB"/>
    <w:rsid w:val="007450D8"/>
    <w:rsid w:val="00750C22"/>
    <w:rsid w:val="00752EA2"/>
    <w:rsid w:val="00753DF6"/>
    <w:rsid w:val="00754DC0"/>
    <w:rsid w:val="00755134"/>
    <w:rsid w:val="00757BFA"/>
    <w:rsid w:val="007606B4"/>
    <w:rsid w:val="00760BF8"/>
    <w:rsid w:val="0076260A"/>
    <w:rsid w:val="00762A63"/>
    <w:rsid w:val="00763EC6"/>
    <w:rsid w:val="0076402F"/>
    <w:rsid w:val="00764858"/>
    <w:rsid w:val="00765E60"/>
    <w:rsid w:val="007661AB"/>
    <w:rsid w:val="00773AC2"/>
    <w:rsid w:val="00774D29"/>
    <w:rsid w:val="00782D42"/>
    <w:rsid w:val="00783E56"/>
    <w:rsid w:val="00784ED9"/>
    <w:rsid w:val="00785D71"/>
    <w:rsid w:val="00786379"/>
    <w:rsid w:val="00787165"/>
    <w:rsid w:val="00787B43"/>
    <w:rsid w:val="00794A35"/>
    <w:rsid w:val="00794E52"/>
    <w:rsid w:val="007956B6"/>
    <w:rsid w:val="00795E94"/>
    <w:rsid w:val="00797CF9"/>
    <w:rsid w:val="007A086D"/>
    <w:rsid w:val="007A0C86"/>
    <w:rsid w:val="007A3EEF"/>
    <w:rsid w:val="007A3FB0"/>
    <w:rsid w:val="007A7DBA"/>
    <w:rsid w:val="007B13C3"/>
    <w:rsid w:val="007B146F"/>
    <w:rsid w:val="007B1D08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3E92"/>
    <w:rsid w:val="007D59B0"/>
    <w:rsid w:val="007E044C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48CA"/>
    <w:rsid w:val="0081571E"/>
    <w:rsid w:val="00815969"/>
    <w:rsid w:val="00815B97"/>
    <w:rsid w:val="008207CD"/>
    <w:rsid w:val="00820FAA"/>
    <w:rsid w:val="00822F08"/>
    <w:rsid w:val="0082360F"/>
    <w:rsid w:val="00824959"/>
    <w:rsid w:val="008263EC"/>
    <w:rsid w:val="008265CD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72BA"/>
    <w:rsid w:val="00890F4C"/>
    <w:rsid w:val="00893BA0"/>
    <w:rsid w:val="00894AAA"/>
    <w:rsid w:val="00894ED8"/>
    <w:rsid w:val="008960B6"/>
    <w:rsid w:val="008A188B"/>
    <w:rsid w:val="008A22C5"/>
    <w:rsid w:val="008A25E5"/>
    <w:rsid w:val="008A4450"/>
    <w:rsid w:val="008A4933"/>
    <w:rsid w:val="008B1B37"/>
    <w:rsid w:val="008B2923"/>
    <w:rsid w:val="008B3328"/>
    <w:rsid w:val="008B565F"/>
    <w:rsid w:val="008B589E"/>
    <w:rsid w:val="008C0492"/>
    <w:rsid w:val="008C0B9D"/>
    <w:rsid w:val="008C1A8D"/>
    <w:rsid w:val="008C1CC1"/>
    <w:rsid w:val="008C4D81"/>
    <w:rsid w:val="008C51D1"/>
    <w:rsid w:val="008C5436"/>
    <w:rsid w:val="008C73FF"/>
    <w:rsid w:val="008D0109"/>
    <w:rsid w:val="008D2647"/>
    <w:rsid w:val="008D4C10"/>
    <w:rsid w:val="008D76C0"/>
    <w:rsid w:val="008D7818"/>
    <w:rsid w:val="008D7C42"/>
    <w:rsid w:val="008E1D7C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3A2D"/>
    <w:rsid w:val="009C45FF"/>
    <w:rsid w:val="009C4FA7"/>
    <w:rsid w:val="009C649A"/>
    <w:rsid w:val="009D0603"/>
    <w:rsid w:val="009D10D7"/>
    <w:rsid w:val="009D4321"/>
    <w:rsid w:val="009D5E39"/>
    <w:rsid w:val="009D6199"/>
    <w:rsid w:val="009D63AE"/>
    <w:rsid w:val="009D7CB0"/>
    <w:rsid w:val="009E0604"/>
    <w:rsid w:val="009E62B4"/>
    <w:rsid w:val="009E662D"/>
    <w:rsid w:val="009E7EC6"/>
    <w:rsid w:val="009F0BF0"/>
    <w:rsid w:val="009F0E70"/>
    <w:rsid w:val="009F2992"/>
    <w:rsid w:val="009F2B42"/>
    <w:rsid w:val="009F4307"/>
    <w:rsid w:val="009F5D37"/>
    <w:rsid w:val="009F680B"/>
    <w:rsid w:val="009F6A39"/>
    <w:rsid w:val="009F75B5"/>
    <w:rsid w:val="00A00E89"/>
    <w:rsid w:val="00A01CF7"/>
    <w:rsid w:val="00A04188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6DC"/>
    <w:rsid w:val="00A23C68"/>
    <w:rsid w:val="00A2568F"/>
    <w:rsid w:val="00A25A20"/>
    <w:rsid w:val="00A25F35"/>
    <w:rsid w:val="00A301E7"/>
    <w:rsid w:val="00A30797"/>
    <w:rsid w:val="00A32019"/>
    <w:rsid w:val="00A324DB"/>
    <w:rsid w:val="00A32A47"/>
    <w:rsid w:val="00A35D8F"/>
    <w:rsid w:val="00A37F9F"/>
    <w:rsid w:val="00A40A8C"/>
    <w:rsid w:val="00A43E4F"/>
    <w:rsid w:val="00A45186"/>
    <w:rsid w:val="00A451FE"/>
    <w:rsid w:val="00A4534B"/>
    <w:rsid w:val="00A457B6"/>
    <w:rsid w:val="00A473E1"/>
    <w:rsid w:val="00A4775E"/>
    <w:rsid w:val="00A52048"/>
    <w:rsid w:val="00A52D32"/>
    <w:rsid w:val="00A56DB2"/>
    <w:rsid w:val="00A57B22"/>
    <w:rsid w:val="00A614AD"/>
    <w:rsid w:val="00A61CED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69A1"/>
    <w:rsid w:val="00AC7DB9"/>
    <w:rsid w:val="00AD17BB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F75"/>
    <w:rsid w:val="00AF096B"/>
    <w:rsid w:val="00AF1418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11B16"/>
    <w:rsid w:val="00B11C54"/>
    <w:rsid w:val="00B132F8"/>
    <w:rsid w:val="00B13A7D"/>
    <w:rsid w:val="00B149C7"/>
    <w:rsid w:val="00B207A5"/>
    <w:rsid w:val="00B235F3"/>
    <w:rsid w:val="00B24EA5"/>
    <w:rsid w:val="00B25F91"/>
    <w:rsid w:val="00B276B0"/>
    <w:rsid w:val="00B2782B"/>
    <w:rsid w:val="00B30405"/>
    <w:rsid w:val="00B31B89"/>
    <w:rsid w:val="00B33410"/>
    <w:rsid w:val="00B33943"/>
    <w:rsid w:val="00B34728"/>
    <w:rsid w:val="00B35360"/>
    <w:rsid w:val="00B3669C"/>
    <w:rsid w:val="00B37E96"/>
    <w:rsid w:val="00B416AB"/>
    <w:rsid w:val="00B42019"/>
    <w:rsid w:val="00B434DA"/>
    <w:rsid w:val="00B4366E"/>
    <w:rsid w:val="00B4595C"/>
    <w:rsid w:val="00B4693B"/>
    <w:rsid w:val="00B549D1"/>
    <w:rsid w:val="00B55A7C"/>
    <w:rsid w:val="00B563BB"/>
    <w:rsid w:val="00B567C8"/>
    <w:rsid w:val="00B659C7"/>
    <w:rsid w:val="00B66E18"/>
    <w:rsid w:val="00B6720B"/>
    <w:rsid w:val="00B72231"/>
    <w:rsid w:val="00B73265"/>
    <w:rsid w:val="00B741AD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4DEC"/>
    <w:rsid w:val="00BB6DF2"/>
    <w:rsid w:val="00BB6ED5"/>
    <w:rsid w:val="00BC08D6"/>
    <w:rsid w:val="00BC0AD5"/>
    <w:rsid w:val="00BC3CD4"/>
    <w:rsid w:val="00BC54A7"/>
    <w:rsid w:val="00BC651F"/>
    <w:rsid w:val="00BD2B36"/>
    <w:rsid w:val="00BD38BA"/>
    <w:rsid w:val="00BD40B1"/>
    <w:rsid w:val="00BD4262"/>
    <w:rsid w:val="00BD5A29"/>
    <w:rsid w:val="00BE0743"/>
    <w:rsid w:val="00BE0CA4"/>
    <w:rsid w:val="00BE5A64"/>
    <w:rsid w:val="00BF262F"/>
    <w:rsid w:val="00BF36B4"/>
    <w:rsid w:val="00BF50EA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7B4"/>
    <w:rsid w:val="00C17A5B"/>
    <w:rsid w:val="00C17CE0"/>
    <w:rsid w:val="00C23851"/>
    <w:rsid w:val="00C2429F"/>
    <w:rsid w:val="00C246F3"/>
    <w:rsid w:val="00C24BD1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B63"/>
    <w:rsid w:val="00C40BF8"/>
    <w:rsid w:val="00C4266E"/>
    <w:rsid w:val="00C4335D"/>
    <w:rsid w:val="00C44AA8"/>
    <w:rsid w:val="00C462AD"/>
    <w:rsid w:val="00C5438F"/>
    <w:rsid w:val="00C551A0"/>
    <w:rsid w:val="00C55E11"/>
    <w:rsid w:val="00C57EC8"/>
    <w:rsid w:val="00C607C5"/>
    <w:rsid w:val="00C63214"/>
    <w:rsid w:val="00C64143"/>
    <w:rsid w:val="00C65124"/>
    <w:rsid w:val="00C651ED"/>
    <w:rsid w:val="00C6550B"/>
    <w:rsid w:val="00C7002F"/>
    <w:rsid w:val="00C709B9"/>
    <w:rsid w:val="00C7114A"/>
    <w:rsid w:val="00C7469C"/>
    <w:rsid w:val="00C74ED5"/>
    <w:rsid w:val="00C75527"/>
    <w:rsid w:val="00C757A9"/>
    <w:rsid w:val="00C82193"/>
    <w:rsid w:val="00C84FD8"/>
    <w:rsid w:val="00C85A7B"/>
    <w:rsid w:val="00C85AA9"/>
    <w:rsid w:val="00C86AF8"/>
    <w:rsid w:val="00C8704A"/>
    <w:rsid w:val="00C87354"/>
    <w:rsid w:val="00C95409"/>
    <w:rsid w:val="00C96FEB"/>
    <w:rsid w:val="00C972AE"/>
    <w:rsid w:val="00C97D4D"/>
    <w:rsid w:val="00CA0708"/>
    <w:rsid w:val="00CA37DD"/>
    <w:rsid w:val="00CA4D7D"/>
    <w:rsid w:val="00CA5C9E"/>
    <w:rsid w:val="00CB0495"/>
    <w:rsid w:val="00CB1C10"/>
    <w:rsid w:val="00CB1E0C"/>
    <w:rsid w:val="00CB2067"/>
    <w:rsid w:val="00CB434A"/>
    <w:rsid w:val="00CB451D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5E0"/>
    <w:rsid w:val="00CE3C53"/>
    <w:rsid w:val="00CE5CAF"/>
    <w:rsid w:val="00CE6182"/>
    <w:rsid w:val="00CE6BA8"/>
    <w:rsid w:val="00CE74AD"/>
    <w:rsid w:val="00CF17C1"/>
    <w:rsid w:val="00CF55CF"/>
    <w:rsid w:val="00CF700B"/>
    <w:rsid w:val="00D05592"/>
    <w:rsid w:val="00D06E5E"/>
    <w:rsid w:val="00D10487"/>
    <w:rsid w:val="00D11D0F"/>
    <w:rsid w:val="00D12C14"/>
    <w:rsid w:val="00D14327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5132"/>
    <w:rsid w:val="00D35B64"/>
    <w:rsid w:val="00D35C31"/>
    <w:rsid w:val="00D403A4"/>
    <w:rsid w:val="00D41136"/>
    <w:rsid w:val="00D41DC7"/>
    <w:rsid w:val="00D42E3E"/>
    <w:rsid w:val="00D43656"/>
    <w:rsid w:val="00D46119"/>
    <w:rsid w:val="00D51D00"/>
    <w:rsid w:val="00D524E2"/>
    <w:rsid w:val="00D54A80"/>
    <w:rsid w:val="00D550D7"/>
    <w:rsid w:val="00D56FDC"/>
    <w:rsid w:val="00D57BE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83A7E"/>
    <w:rsid w:val="00D8423E"/>
    <w:rsid w:val="00D84C4E"/>
    <w:rsid w:val="00D85E87"/>
    <w:rsid w:val="00D873A4"/>
    <w:rsid w:val="00D87BC1"/>
    <w:rsid w:val="00D87CC2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D06"/>
    <w:rsid w:val="00DB3DAF"/>
    <w:rsid w:val="00DB4A22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2F6C"/>
    <w:rsid w:val="00DD3A8E"/>
    <w:rsid w:val="00DD4844"/>
    <w:rsid w:val="00DD7E2D"/>
    <w:rsid w:val="00DE0C7F"/>
    <w:rsid w:val="00DE2090"/>
    <w:rsid w:val="00DE236C"/>
    <w:rsid w:val="00DE2D4D"/>
    <w:rsid w:val="00DE5C17"/>
    <w:rsid w:val="00DE5DA3"/>
    <w:rsid w:val="00DE73E9"/>
    <w:rsid w:val="00DE7BBB"/>
    <w:rsid w:val="00DE7BE8"/>
    <w:rsid w:val="00DF2054"/>
    <w:rsid w:val="00DF2F2E"/>
    <w:rsid w:val="00DF4214"/>
    <w:rsid w:val="00DF42ED"/>
    <w:rsid w:val="00DF4D03"/>
    <w:rsid w:val="00DF51FE"/>
    <w:rsid w:val="00DF591C"/>
    <w:rsid w:val="00DF7A12"/>
    <w:rsid w:val="00E002E2"/>
    <w:rsid w:val="00E05224"/>
    <w:rsid w:val="00E05B7D"/>
    <w:rsid w:val="00E0773C"/>
    <w:rsid w:val="00E119B7"/>
    <w:rsid w:val="00E123F0"/>
    <w:rsid w:val="00E130DD"/>
    <w:rsid w:val="00E133B7"/>
    <w:rsid w:val="00E14245"/>
    <w:rsid w:val="00E14F89"/>
    <w:rsid w:val="00E15DF7"/>
    <w:rsid w:val="00E2147B"/>
    <w:rsid w:val="00E21F03"/>
    <w:rsid w:val="00E22866"/>
    <w:rsid w:val="00E2344C"/>
    <w:rsid w:val="00E23D97"/>
    <w:rsid w:val="00E24C67"/>
    <w:rsid w:val="00E24EDC"/>
    <w:rsid w:val="00E27D21"/>
    <w:rsid w:val="00E301C0"/>
    <w:rsid w:val="00E31082"/>
    <w:rsid w:val="00E31E66"/>
    <w:rsid w:val="00E32184"/>
    <w:rsid w:val="00E32E3A"/>
    <w:rsid w:val="00E332DA"/>
    <w:rsid w:val="00E34ADB"/>
    <w:rsid w:val="00E4218D"/>
    <w:rsid w:val="00E4262D"/>
    <w:rsid w:val="00E4301F"/>
    <w:rsid w:val="00E4465A"/>
    <w:rsid w:val="00E447F1"/>
    <w:rsid w:val="00E45277"/>
    <w:rsid w:val="00E45D3A"/>
    <w:rsid w:val="00E46C80"/>
    <w:rsid w:val="00E47A53"/>
    <w:rsid w:val="00E5083F"/>
    <w:rsid w:val="00E50E74"/>
    <w:rsid w:val="00E52CA2"/>
    <w:rsid w:val="00E53555"/>
    <w:rsid w:val="00E53736"/>
    <w:rsid w:val="00E53E3D"/>
    <w:rsid w:val="00E553A0"/>
    <w:rsid w:val="00E56063"/>
    <w:rsid w:val="00E5613F"/>
    <w:rsid w:val="00E60E15"/>
    <w:rsid w:val="00E61F23"/>
    <w:rsid w:val="00E6214B"/>
    <w:rsid w:val="00E6240A"/>
    <w:rsid w:val="00E65A15"/>
    <w:rsid w:val="00E70900"/>
    <w:rsid w:val="00E70CF1"/>
    <w:rsid w:val="00E71868"/>
    <w:rsid w:val="00E7203C"/>
    <w:rsid w:val="00E73B2E"/>
    <w:rsid w:val="00E74473"/>
    <w:rsid w:val="00E763F7"/>
    <w:rsid w:val="00E7721C"/>
    <w:rsid w:val="00E77BA9"/>
    <w:rsid w:val="00E80AA8"/>
    <w:rsid w:val="00E82E4E"/>
    <w:rsid w:val="00E844E0"/>
    <w:rsid w:val="00E86ED1"/>
    <w:rsid w:val="00E87122"/>
    <w:rsid w:val="00E8736F"/>
    <w:rsid w:val="00E90A0A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A664A"/>
    <w:rsid w:val="00EB0375"/>
    <w:rsid w:val="00EB1A3A"/>
    <w:rsid w:val="00EB36D5"/>
    <w:rsid w:val="00EB3ECE"/>
    <w:rsid w:val="00EC0F05"/>
    <w:rsid w:val="00EC16AB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3A9C"/>
    <w:rsid w:val="00EE4E88"/>
    <w:rsid w:val="00EE5DBB"/>
    <w:rsid w:val="00EF0992"/>
    <w:rsid w:val="00EF1C9C"/>
    <w:rsid w:val="00EF2E1D"/>
    <w:rsid w:val="00EF5FE8"/>
    <w:rsid w:val="00EF6059"/>
    <w:rsid w:val="00EF6396"/>
    <w:rsid w:val="00EF6860"/>
    <w:rsid w:val="00EF6DB2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E05"/>
    <w:rsid w:val="00F13FCF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F8A"/>
    <w:rsid w:val="00F26367"/>
    <w:rsid w:val="00F26519"/>
    <w:rsid w:val="00F268C8"/>
    <w:rsid w:val="00F26DBC"/>
    <w:rsid w:val="00F279F7"/>
    <w:rsid w:val="00F27C11"/>
    <w:rsid w:val="00F27E41"/>
    <w:rsid w:val="00F30677"/>
    <w:rsid w:val="00F30E81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57BD0"/>
    <w:rsid w:val="00F60872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551C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9D2"/>
    <w:rsid w:val="00FC6B32"/>
    <w:rsid w:val="00FD3AE2"/>
    <w:rsid w:val="00FD3E68"/>
    <w:rsid w:val="00FD61F3"/>
    <w:rsid w:val="00FD7B5B"/>
    <w:rsid w:val="00FE2C21"/>
    <w:rsid w:val="00FE3D04"/>
    <w:rsid w:val="00FE4B58"/>
    <w:rsid w:val="00FE4C19"/>
    <w:rsid w:val="00FE6D7C"/>
    <w:rsid w:val="00FE6E67"/>
    <w:rsid w:val="00FF0132"/>
    <w:rsid w:val="00FF2822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,列表段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D4A650-71A7-4128-8F53-9F3C7101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Shin</cp:lastModifiedBy>
  <cp:revision>562</cp:revision>
  <cp:lastPrinted>2002-04-23T09:10:00Z</cp:lastPrinted>
  <dcterms:created xsi:type="dcterms:W3CDTF">2020-01-30T15:36:00Z</dcterms:created>
  <dcterms:modified xsi:type="dcterms:W3CDTF">2021-10-01T17:24:00Z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